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804" w:rsidRPr="00C81434" w:rsidRDefault="00C81434">
      <w:pPr>
        <w:rPr>
          <w:rFonts w:ascii="宋体" w:eastAsia="宋体" w:hAnsi="宋体"/>
          <w:b/>
          <w:sz w:val="28"/>
          <w:szCs w:val="28"/>
        </w:rPr>
      </w:pPr>
      <w:r w:rsidRPr="00C81434">
        <w:rPr>
          <w:rFonts w:ascii="宋体" w:eastAsia="宋体" w:hAnsi="宋体" w:hint="eastAsia"/>
          <w:b/>
          <w:sz w:val="28"/>
          <w:szCs w:val="28"/>
        </w:rPr>
        <w:t>附件2：案例介绍</w:t>
      </w:r>
      <w:bookmarkStart w:id="0" w:name="_GoBack"/>
      <w:bookmarkEnd w:id="0"/>
    </w:p>
    <w:p w:rsidR="00C81434" w:rsidRDefault="00C81434"/>
    <w:p w:rsidR="00C81434" w:rsidRPr="00C81434" w:rsidRDefault="00C81434" w:rsidP="00C81434">
      <w:pPr>
        <w:pStyle w:val="a7"/>
        <w:numPr>
          <w:ilvl w:val="0"/>
          <w:numId w:val="2"/>
        </w:numPr>
        <w:adjustRightInd w:val="0"/>
        <w:snapToGrid w:val="0"/>
        <w:spacing w:afterLines="50" w:after="156" w:line="300" w:lineRule="auto"/>
        <w:outlineLvl w:val="1"/>
        <w:rPr>
          <w:rFonts w:ascii="宋体" w:eastAsia="宋体" w:hAnsi="宋体" w:cstheme="minorEastAsia"/>
          <w:b/>
          <w:bCs/>
          <w:sz w:val="28"/>
          <w:szCs w:val="28"/>
        </w:rPr>
      </w:pPr>
      <w:r w:rsidRPr="00C81434">
        <w:rPr>
          <w:rFonts w:ascii="宋体" w:eastAsia="宋体" w:hAnsi="宋体" w:cstheme="minorEastAsia" w:hint="eastAsia"/>
          <w:b/>
          <w:bCs/>
          <w:sz w:val="28"/>
          <w:szCs w:val="28"/>
        </w:rPr>
        <w:t>智能仿真系统典型案例：某户外运动品牌智能仓优化与仿真</w:t>
      </w:r>
    </w:p>
    <w:p w:rsidR="00C81434" w:rsidRDefault="00C81434" w:rsidP="00C81434">
      <w:pPr>
        <w:adjustRightInd w:val="0"/>
        <w:snapToGrid w:val="0"/>
        <w:spacing w:afterLines="50" w:after="156" w:line="300" w:lineRule="auto"/>
        <w:jc w:val="center"/>
        <w:rPr>
          <w:rFonts w:ascii="宋体" w:eastAsia="宋体" w:hAnsi="宋体" w:cstheme="minorEastAsia"/>
          <w:b/>
          <w:bCs/>
          <w:sz w:val="28"/>
          <w:szCs w:val="28"/>
        </w:rPr>
      </w:pPr>
      <w:r>
        <w:rPr>
          <w:noProof/>
        </w:rPr>
        <w:drawing>
          <wp:inline distT="0" distB="0" distL="0" distR="0" wp14:anchorId="76403983" wp14:editId="18EB4736">
            <wp:extent cx="3446185" cy="2905764"/>
            <wp:effectExtent l="190500" t="190500" r="363855" b="370840"/>
            <wp:docPr id="147222553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3451756" cy="2910461"/>
                    </a:xfrm>
                    <a:prstGeom prst="rect">
                      <a:avLst/>
                    </a:prstGeom>
                    <a:noFill/>
                    <a:ln>
                      <a:solidFill>
                        <a:srgbClr val="136CEA">
                          <a:alpha val="40000"/>
                        </a:srgbClr>
                      </a:solidFill>
                    </a:ln>
                    <a:effectLst>
                      <a:outerShdw blurRad="330200" dist="127000" dir="2700000" sx="102000" sy="102000" algn="ctr" rotWithShape="0">
                        <a:srgbClr val="1975CA">
                          <a:alpha val="20000"/>
                        </a:srgbClr>
                      </a:outerShdw>
                    </a:effectLst>
                  </pic:spPr>
                </pic:pic>
              </a:graphicData>
            </a:graphic>
          </wp:inline>
        </w:drawing>
      </w:r>
    </w:p>
    <w:p w:rsidR="00C81434" w:rsidRDefault="00C81434" w:rsidP="00C81434">
      <w:pPr>
        <w:adjustRightInd w:val="0"/>
        <w:snapToGrid w:val="0"/>
        <w:spacing w:afterLines="50" w:after="156" w:line="300" w:lineRule="auto"/>
        <w:rPr>
          <w:rFonts w:ascii="宋体" w:eastAsia="宋体" w:hAnsi="宋体" w:cstheme="minorEastAsia"/>
          <w:b/>
          <w:bCs/>
          <w:sz w:val="28"/>
          <w:szCs w:val="28"/>
        </w:rPr>
      </w:pPr>
      <w:r>
        <w:rPr>
          <w:rFonts w:ascii="宋体" w:eastAsia="宋体" w:hAnsi="宋体" w:cstheme="minorEastAsia" w:hint="eastAsia"/>
          <w:b/>
          <w:bCs/>
          <w:sz w:val="28"/>
          <w:szCs w:val="28"/>
        </w:rPr>
        <w:t>企业需求：</w:t>
      </w:r>
    </w:p>
    <w:p w:rsidR="00C81434" w:rsidRDefault="00C81434" w:rsidP="00C81434">
      <w:pPr>
        <w:autoSpaceDE w:val="0"/>
        <w:autoSpaceDN w:val="0"/>
        <w:adjustRightInd w:val="0"/>
        <w:snapToGrid w:val="0"/>
        <w:spacing w:afterLines="50" w:after="156" w:line="300" w:lineRule="auto"/>
        <w:jc w:val="left"/>
        <w:rPr>
          <w:rFonts w:ascii="宋体" w:eastAsia="宋体" w:hAnsi="宋体" w:cstheme="minorEastAsia"/>
          <w:sz w:val="28"/>
          <w:szCs w:val="28"/>
        </w:rPr>
      </w:pPr>
      <w:r w:rsidRPr="006C0F48">
        <w:rPr>
          <w:rFonts w:ascii="宋体" w:eastAsia="宋体" w:hAnsi="宋体" w:cstheme="minorEastAsia" w:hint="eastAsia"/>
          <w:sz w:val="28"/>
          <w:szCs w:val="28"/>
        </w:rPr>
        <w:t>2w＋SKU，3300㎡场地，月订单20w＋，企业希望能够容纳全部货品的同时，增加仓库库容，提高拣货效率，降低人工成本及拣选错误率。</w:t>
      </w:r>
    </w:p>
    <w:p w:rsidR="00C81434" w:rsidRPr="006C0F48" w:rsidRDefault="00C81434" w:rsidP="00C81434">
      <w:pPr>
        <w:autoSpaceDE w:val="0"/>
        <w:autoSpaceDN w:val="0"/>
        <w:adjustRightInd w:val="0"/>
        <w:snapToGrid w:val="0"/>
        <w:spacing w:afterLines="50" w:after="156" w:line="300" w:lineRule="auto"/>
        <w:jc w:val="left"/>
        <w:rPr>
          <w:rFonts w:ascii="宋体" w:eastAsia="宋体" w:hAnsi="宋体" w:cstheme="minorEastAsia"/>
          <w:sz w:val="28"/>
          <w:szCs w:val="28"/>
        </w:rPr>
      </w:pPr>
      <w:r>
        <w:rPr>
          <w:rFonts w:ascii="宋体" w:eastAsia="宋体" w:hAnsi="宋体" w:cstheme="minorEastAsia" w:hint="eastAsia"/>
          <w:b/>
          <w:bCs/>
          <w:sz w:val="28"/>
          <w:szCs w:val="28"/>
        </w:rPr>
        <w:t>解决方案：</w:t>
      </w:r>
    </w:p>
    <w:p w:rsidR="00C81434" w:rsidRPr="006C0F48" w:rsidRDefault="00C81434" w:rsidP="00C81434">
      <w:pPr>
        <w:autoSpaceDE w:val="0"/>
        <w:autoSpaceDN w:val="0"/>
        <w:adjustRightInd w:val="0"/>
        <w:snapToGrid w:val="0"/>
        <w:spacing w:afterLines="50" w:after="156" w:line="300" w:lineRule="auto"/>
        <w:rPr>
          <w:rFonts w:ascii="宋体" w:eastAsia="宋体" w:hAnsi="宋体" w:cstheme="minorEastAsia"/>
          <w:sz w:val="28"/>
          <w:szCs w:val="28"/>
        </w:rPr>
      </w:pPr>
      <w:r w:rsidRPr="006C0F48">
        <w:rPr>
          <w:rFonts w:ascii="宋体" w:eastAsia="宋体" w:hAnsi="宋体" w:cstheme="minorEastAsia" w:hint="eastAsia"/>
          <w:sz w:val="28"/>
          <w:szCs w:val="28"/>
        </w:rPr>
        <w:t>根据企业现状，制定智能拣选区的仓库升级方案，通过仿真，验证仓库升级方案，以及升级后仓库效率的提升程度。同时，针对不同业务量，启用不同量级的设备，在满足订单需求的条件下，最大程度控制成本。</w:t>
      </w:r>
    </w:p>
    <w:p w:rsidR="00C81434" w:rsidRDefault="00C81434" w:rsidP="00C81434">
      <w:pPr>
        <w:adjustRightInd w:val="0"/>
        <w:snapToGrid w:val="0"/>
        <w:spacing w:afterLines="50" w:after="156" w:line="300" w:lineRule="auto"/>
        <w:rPr>
          <w:rFonts w:ascii="宋体" w:eastAsia="宋体" w:hAnsi="宋体" w:cstheme="minorEastAsia"/>
          <w:b/>
          <w:bCs/>
          <w:sz w:val="28"/>
          <w:szCs w:val="28"/>
        </w:rPr>
      </w:pPr>
      <w:r>
        <w:rPr>
          <w:rFonts w:ascii="宋体" w:eastAsia="宋体" w:hAnsi="宋体" w:cstheme="minorEastAsia" w:hint="eastAsia"/>
          <w:b/>
          <w:bCs/>
          <w:sz w:val="28"/>
          <w:szCs w:val="28"/>
        </w:rPr>
        <w:t>客户收益：</w:t>
      </w:r>
    </w:p>
    <w:p w:rsidR="00C81434" w:rsidRPr="00DD0218" w:rsidRDefault="00C81434" w:rsidP="00C81434">
      <w:pPr>
        <w:pStyle w:val="a7"/>
        <w:numPr>
          <w:ilvl w:val="0"/>
          <w:numId w:val="1"/>
        </w:numPr>
        <w:autoSpaceDE w:val="0"/>
        <w:autoSpaceDN w:val="0"/>
        <w:adjustRightInd w:val="0"/>
        <w:snapToGrid w:val="0"/>
        <w:spacing w:afterLines="50" w:after="156" w:line="300" w:lineRule="auto"/>
        <w:rPr>
          <w:rFonts w:ascii="宋体" w:eastAsia="宋体" w:hAnsi="宋体" w:cstheme="minorEastAsia"/>
          <w:sz w:val="28"/>
          <w:szCs w:val="28"/>
        </w:rPr>
      </w:pPr>
      <w:r w:rsidRPr="00DD0218">
        <w:rPr>
          <w:rFonts w:ascii="宋体" w:eastAsia="宋体" w:hAnsi="宋体" w:cstheme="minorEastAsia" w:hint="eastAsia"/>
          <w:sz w:val="28"/>
          <w:szCs w:val="28"/>
        </w:rPr>
        <w:t>平峰期间，AGV及工作站无需全部开启，仅在峰值订单期间需要智能拣选区满负荷工作。</w:t>
      </w:r>
    </w:p>
    <w:p w:rsidR="00C81434" w:rsidRPr="00DD0218" w:rsidRDefault="00C81434" w:rsidP="00C81434">
      <w:pPr>
        <w:pStyle w:val="a7"/>
        <w:numPr>
          <w:ilvl w:val="0"/>
          <w:numId w:val="1"/>
        </w:numPr>
        <w:autoSpaceDE w:val="0"/>
        <w:autoSpaceDN w:val="0"/>
        <w:adjustRightInd w:val="0"/>
        <w:snapToGrid w:val="0"/>
        <w:spacing w:afterLines="50" w:after="156" w:line="300" w:lineRule="auto"/>
        <w:rPr>
          <w:rFonts w:ascii="宋体" w:eastAsia="宋体" w:hAnsi="宋体" w:cstheme="minorEastAsia"/>
          <w:sz w:val="28"/>
          <w:szCs w:val="28"/>
        </w:rPr>
      </w:pPr>
      <w:r w:rsidRPr="00DD0218">
        <w:rPr>
          <w:rFonts w:ascii="宋体" w:eastAsia="宋体" w:hAnsi="宋体" w:cstheme="minorEastAsia" w:hint="eastAsia"/>
          <w:sz w:val="28"/>
          <w:szCs w:val="28"/>
        </w:rPr>
        <w:t>通过多轮仿真优化过程，针对该客户，平峰时，设备仅需开启60%</w:t>
      </w:r>
      <w:r w:rsidRPr="00DD0218">
        <w:rPr>
          <w:rFonts w:ascii="宋体" w:eastAsia="宋体" w:hAnsi="宋体" w:cstheme="minorEastAsia" w:hint="eastAsia"/>
          <w:sz w:val="28"/>
          <w:szCs w:val="28"/>
        </w:rPr>
        <w:lastRenderedPageBreak/>
        <w:t>便能满足订单需求。这一优化结果帮助客户每年节省近300万的成本。</w:t>
      </w:r>
    </w:p>
    <w:p w:rsidR="00C81434" w:rsidRPr="00AC3E05" w:rsidRDefault="00C81434" w:rsidP="00C81434">
      <w:pPr>
        <w:adjustRightInd w:val="0"/>
        <w:snapToGrid w:val="0"/>
        <w:spacing w:afterLines="50" w:after="156" w:line="300" w:lineRule="auto"/>
        <w:outlineLvl w:val="1"/>
        <w:rPr>
          <w:rFonts w:ascii="宋体" w:eastAsia="宋体" w:hAnsi="宋体" w:cstheme="minorEastAsia"/>
          <w:b/>
          <w:bCs/>
          <w:sz w:val="28"/>
          <w:szCs w:val="28"/>
        </w:rPr>
      </w:pPr>
      <w:r>
        <w:rPr>
          <w:rFonts w:ascii="宋体" w:eastAsia="宋体" w:hAnsi="宋体" w:cstheme="minorEastAsia" w:hint="eastAsia"/>
          <w:b/>
          <w:bCs/>
          <w:sz w:val="28"/>
          <w:szCs w:val="28"/>
        </w:rPr>
        <w:t>2</w:t>
      </w:r>
      <w:r>
        <w:rPr>
          <w:rFonts w:ascii="宋体" w:eastAsia="宋体" w:hAnsi="宋体" w:cstheme="minorEastAsia"/>
          <w:b/>
          <w:bCs/>
          <w:sz w:val="28"/>
          <w:szCs w:val="28"/>
        </w:rPr>
        <w:t>.</w:t>
      </w:r>
      <w:r w:rsidRPr="00C81434">
        <w:rPr>
          <w:rFonts w:ascii="宋体" w:eastAsia="宋体" w:hAnsi="宋体" w:cstheme="minorEastAsia" w:hint="eastAsia"/>
          <w:b/>
          <w:bCs/>
          <w:sz w:val="28"/>
          <w:szCs w:val="28"/>
        </w:rPr>
        <w:t xml:space="preserve"> </w:t>
      </w:r>
      <w:r w:rsidRPr="00E13101">
        <w:rPr>
          <w:rFonts w:ascii="宋体" w:eastAsia="宋体" w:hAnsi="宋体" w:cstheme="minorEastAsia" w:hint="eastAsia"/>
          <w:b/>
          <w:sz w:val="28"/>
          <w:szCs w:val="28"/>
          <w:shd w:val="clear" w:color="auto" w:fill="FFFFFF"/>
        </w:rPr>
        <w:t>供应链建模优化系统</w:t>
      </w:r>
      <w:r w:rsidRPr="004D1FD4">
        <w:rPr>
          <w:rFonts w:ascii="宋体" w:eastAsia="宋体" w:hAnsi="宋体" w:cstheme="minorEastAsia" w:hint="eastAsia"/>
          <w:b/>
          <w:bCs/>
          <w:sz w:val="28"/>
          <w:szCs w:val="28"/>
        </w:rPr>
        <w:t>典型案例：某汽车制造企业—零部件库存优化</w:t>
      </w:r>
    </w:p>
    <w:p w:rsidR="00C81434" w:rsidRPr="00130F22" w:rsidRDefault="00C81434" w:rsidP="00C81434">
      <w:pPr>
        <w:adjustRightInd w:val="0"/>
        <w:snapToGrid w:val="0"/>
        <w:spacing w:afterLines="50" w:after="156" w:line="300" w:lineRule="auto"/>
        <w:rPr>
          <w:rFonts w:ascii="宋体" w:eastAsia="宋体" w:hAnsi="宋体" w:cstheme="minorEastAsia"/>
          <w:b/>
          <w:bCs/>
          <w:sz w:val="28"/>
          <w:szCs w:val="28"/>
        </w:rPr>
      </w:pPr>
      <w:r>
        <w:rPr>
          <w:rFonts w:ascii="宋体" w:eastAsia="宋体" w:hAnsi="宋体" w:cstheme="minorEastAsia" w:hint="eastAsia"/>
          <w:b/>
          <w:bCs/>
          <w:sz w:val="28"/>
          <w:szCs w:val="28"/>
        </w:rPr>
        <w:t>企业需求</w:t>
      </w:r>
      <w:r w:rsidRPr="00130F22">
        <w:rPr>
          <w:rFonts w:ascii="宋体" w:eastAsia="宋体" w:hAnsi="宋体" w:cstheme="minorEastAsia" w:hint="eastAsia"/>
          <w:b/>
          <w:bCs/>
          <w:sz w:val="28"/>
          <w:szCs w:val="28"/>
        </w:rPr>
        <w:t>：</w:t>
      </w:r>
    </w:p>
    <w:p w:rsidR="00C81434" w:rsidRPr="00A0598C" w:rsidRDefault="00C81434" w:rsidP="00C81434">
      <w:pPr>
        <w:pStyle w:val="a7"/>
        <w:numPr>
          <w:ilvl w:val="0"/>
          <w:numId w:val="3"/>
        </w:numPr>
        <w:autoSpaceDE w:val="0"/>
        <w:autoSpaceDN w:val="0"/>
        <w:adjustRightInd w:val="0"/>
        <w:snapToGrid w:val="0"/>
        <w:spacing w:afterLines="50" w:after="156" w:line="300" w:lineRule="auto"/>
        <w:rPr>
          <w:rFonts w:ascii="宋体" w:eastAsia="宋体" w:hAnsi="宋体" w:cstheme="minorEastAsia"/>
          <w:sz w:val="28"/>
          <w:szCs w:val="28"/>
        </w:rPr>
      </w:pPr>
      <w:r w:rsidRPr="00A0598C">
        <w:rPr>
          <w:rFonts w:ascii="宋体" w:eastAsia="宋体" w:hAnsi="宋体" w:cstheme="minorEastAsia" w:hint="eastAsia"/>
          <w:sz w:val="28"/>
          <w:szCs w:val="28"/>
        </w:rPr>
        <w:t>零件超储：非瓶颈零件库存周转率低，瓶颈零件凭经验手工订货，库存结构不合理。</w:t>
      </w:r>
    </w:p>
    <w:p w:rsidR="00C81434" w:rsidRPr="00A0598C" w:rsidRDefault="00C81434" w:rsidP="00C81434">
      <w:pPr>
        <w:pStyle w:val="a7"/>
        <w:numPr>
          <w:ilvl w:val="0"/>
          <w:numId w:val="3"/>
        </w:numPr>
        <w:autoSpaceDE w:val="0"/>
        <w:autoSpaceDN w:val="0"/>
        <w:adjustRightInd w:val="0"/>
        <w:snapToGrid w:val="0"/>
        <w:spacing w:afterLines="50" w:after="156" w:line="300" w:lineRule="auto"/>
        <w:rPr>
          <w:rFonts w:ascii="宋体" w:eastAsia="宋体" w:hAnsi="宋体" w:cstheme="minorEastAsia"/>
          <w:sz w:val="28"/>
          <w:szCs w:val="28"/>
        </w:rPr>
      </w:pPr>
      <w:r w:rsidRPr="00A0598C">
        <w:rPr>
          <w:rFonts w:ascii="宋体" w:eastAsia="宋体" w:hAnsi="宋体" w:cstheme="minorEastAsia" w:hint="eastAsia"/>
          <w:sz w:val="28"/>
          <w:szCs w:val="28"/>
        </w:rPr>
        <w:t>供应链库存水平、库存结构与成本、服务水平关系无法分析。</w:t>
      </w:r>
    </w:p>
    <w:p w:rsidR="00C81434" w:rsidRDefault="00C81434" w:rsidP="00C81434">
      <w:pPr>
        <w:adjustRightInd w:val="0"/>
        <w:snapToGrid w:val="0"/>
        <w:spacing w:afterLines="50" w:after="156" w:line="300" w:lineRule="auto"/>
        <w:rPr>
          <w:rFonts w:ascii="宋体" w:eastAsia="宋体" w:hAnsi="宋体" w:cstheme="minorEastAsia"/>
          <w:b/>
          <w:bCs/>
          <w:sz w:val="28"/>
          <w:szCs w:val="28"/>
        </w:rPr>
      </w:pPr>
      <w:r>
        <w:rPr>
          <w:rFonts w:ascii="宋体" w:eastAsia="宋体" w:hAnsi="宋体" w:cstheme="minorEastAsia" w:hint="eastAsia"/>
          <w:b/>
          <w:bCs/>
          <w:sz w:val="28"/>
          <w:szCs w:val="28"/>
        </w:rPr>
        <w:t>解决</w:t>
      </w:r>
      <w:r w:rsidRPr="00130F22">
        <w:rPr>
          <w:rFonts w:ascii="宋体" w:eastAsia="宋体" w:hAnsi="宋体" w:cstheme="minorEastAsia" w:hint="eastAsia"/>
          <w:b/>
          <w:bCs/>
          <w:sz w:val="28"/>
          <w:szCs w:val="28"/>
        </w:rPr>
        <w:t>方案：</w:t>
      </w:r>
    </w:p>
    <w:p w:rsidR="00C81434" w:rsidRPr="00A0598C" w:rsidRDefault="00C81434" w:rsidP="00C81434">
      <w:pPr>
        <w:pStyle w:val="a7"/>
        <w:numPr>
          <w:ilvl w:val="0"/>
          <w:numId w:val="4"/>
        </w:numPr>
        <w:autoSpaceDE w:val="0"/>
        <w:autoSpaceDN w:val="0"/>
        <w:adjustRightInd w:val="0"/>
        <w:snapToGrid w:val="0"/>
        <w:spacing w:afterLines="50" w:after="156" w:line="300" w:lineRule="auto"/>
        <w:rPr>
          <w:rFonts w:ascii="宋体" w:eastAsia="宋体" w:hAnsi="宋体" w:cstheme="minorEastAsia"/>
          <w:sz w:val="28"/>
          <w:szCs w:val="28"/>
        </w:rPr>
      </w:pPr>
      <w:r w:rsidRPr="00A0598C">
        <w:rPr>
          <w:rFonts w:ascii="宋体" w:eastAsia="宋体" w:hAnsi="宋体" w:cstheme="minorEastAsia" w:hint="eastAsia"/>
          <w:sz w:val="28"/>
          <w:szCs w:val="28"/>
        </w:rPr>
        <w:t>结合需求分析和供应端波动在指定服务水平下建议最优的库存水平和库存策略。</w:t>
      </w:r>
    </w:p>
    <w:p w:rsidR="00C81434" w:rsidRDefault="00C81434" w:rsidP="00C81434">
      <w:pPr>
        <w:pStyle w:val="a7"/>
        <w:numPr>
          <w:ilvl w:val="0"/>
          <w:numId w:val="4"/>
        </w:numPr>
        <w:autoSpaceDE w:val="0"/>
        <w:autoSpaceDN w:val="0"/>
        <w:adjustRightInd w:val="0"/>
        <w:snapToGrid w:val="0"/>
        <w:spacing w:afterLines="50" w:after="156" w:line="300" w:lineRule="auto"/>
        <w:rPr>
          <w:rFonts w:ascii="宋体" w:eastAsia="宋体" w:hAnsi="宋体" w:cstheme="minorEastAsia"/>
          <w:sz w:val="28"/>
          <w:szCs w:val="28"/>
        </w:rPr>
      </w:pPr>
      <w:r w:rsidRPr="00A0598C">
        <w:rPr>
          <w:rFonts w:ascii="宋体" w:eastAsia="宋体" w:hAnsi="宋体" w:cstheme="minorEastAsia" w:hint="eastAsia"/>
          <w:sz w:val="28"/>
          <w:szCs w:val="28"/>
        </w:rPr>
        <w:t>结合零件分类、建储策略，通过what-if模拟确定最优的订货量和订货频次，达到最优的成本和服务水平。</w:t>
      </w:r>
    </w:p>
    <w:p w:rsidR="00C81434" w:rsidRPr="00AC3E05" w:rsidRDefault="00C81434" w:rsidP="00C81434">
      <w:pPr>
        <w:autoSpaceDE w:val="0"/>
        <w:autoSpaceDN w:val="0"/>
        <w:adjustRightInd w:val="0"/>
        <w:snapToGrid w:val="0"/>
        <w:spacing w:afterLines="50" w:after="156" w:line="300" w:lineRule="auto"/>
        <w:jc w:val="left"/>
        <w:rPr>
          <w:rFonts w:ascii="宋体" w:eastAsia="宋体" w:hAnsi="宋体" w:cstheme="minorEastAsia"/>
          <w:sz w:val="28"/>
          <w:szCs w:val="28"/>
        </w:rPr>
      </w:pPr>
      <w:r>
        <w:rPr>
          <w:noProof/>
        </w:rPr>
        <w:drawing>
          <wp:inline distT="0" distB="0" distL="0" distR="0" wp14:anchorId="030B31DD" wp14:editId="5F848F79">
            <wp:extent cx="4718050" cy="2612390"/>
            <wp:effectExtent l="152400" t="152400" r="349250" b="340360"/>
            <wp:docPr id="3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6"/>
                    <pic:cNvPicPr>
                      <a:picLocks noChangeAspect="1"/>
                    </pic:cNvPicPr>
                  </pic:nvPicPr>
                  <pic:blipFill rotWithShape="1">
                    <a:blip r:embed="rId8"/>
                    <a:srcRect t="13580"/>
                    <a:stretch>
                      <a:fillRect/>
                    </a:stretch>
                  </pic:blipFill>
                  <pic:spPr>
                    <a:xfrm>
                      <a:off x="0" y="0"/>
                      <a:ext cx="4718050" cy="2612390"/>
                    </a:xfrm>
                    <a:prstGeom prst="rect">
                      <a:avLst/>
                    </a:prstGeom>
                    <a:ln w="12700" cmpd="sng">
                      <a:solidFill>
                        <a:srgbClr val="136CEA">
                          <a:alpha val="40000"/>
                        </a:srgbClr>
                      </a:solidFill>
                      <a:prstDash val="solid"/>
                    </a:ln>
                    <a:effectLst>
                      <a:outerShdw blurRad="330200" dist="139700" dir="2700000" algn="tl" rotWithShape="0">
                        <a:srgbClr val="1975CA">
                          <a:alpha val="20000"/>
                        </a:srgbClr>
                      </a:outerShdw>
                    </a:effectLst>
                  </pic:spPr>
                </pic:pic>
              </a:graphicData>
            </a:graphic>
          </wp:inline>
        </w:drawing>
      </w:r>
    </w:p>
    <w:p w:rsidR="00C81434" w:rsidRPr="00130F22" w:rsidRDefault="00C81434" w:rsidP="00C81434">
      <w:pPr>
        <w:adjustRightInd w:val="0"/>
        <w:snapToGrid w:val="0"/>
        <w:spacing w:afterLines="50" w:after="156" w:line="300" w:lineRule="auto"/>
        <w:rPr>
          <w:rFonts w:ascii="宋体" w:eastAsia="宋体" w:hAnsi="宋体" w:cstheme="minorEastAsia"/>
          <w:b/>
          <w:bCs/>
          <w:sz w:val="28"/>
          <w:szCs w:val="28"/>
        </w:rPr>
      </w:pPr>
      <w:r>
        <w:rPr>
          <w:rFonts w:ascii="宋体" w:eastAsia="宋体" w:hAnsi="宋体" w:cstheme="minorEastAsia" w:hint="eastAsia"/>
          <w:b/>
          <w:bCs/>
          <w:sz w:val="28"/>
          <w:szCs w:val="28"/>
        </w:rPr>
        <w:t>客户收益</w:t>
      </w:r>
      <w:r w:rsidRPr="00130F22">
        <w:rPr>
          <w:rFonts w:ascii="宋体" w:eastAsia="宋体" w:hAnsi="宋体" w:cstheme="minorEastAsia" w:hint="eastAsia"/>
          <w:b/>
          <w:bCs/>
          <w:sz w:val="28"/>
          <w:szCs w:val="28"/>
        </w:rPr>
        <w:t>：</w:t>
      </w:r>
    </w:p>
    <w:p w:rsidR="00C81434" w:rsidRPr="00A0598C" w:rsidRDefault="00C81434" w:rsidP="00C81434">
      <w:pPr>
        <w:pStyle w:val="a7"/>
        <w:numPr>
          <w:ilvl w:val="0"/>
          <w:numId w:val="5"/>
        </w:numPr>
        <w:autoSpaceDE w:val="0"/>
        <w:autoSpaceDN w:val="0"/>
        <w:adjustRightInd w:val="0"/>
        <w:snapToGrid w:val="0"/>
        <w:spacing w:afterLines="50" w:after="156" w:line="300" w:lineRule="auto"/>
        <w:jc w:val="left"/>
        <w:rPr>
          <w:rFonts w:ascii="宋体" w:eastAsia="宋体" w:hAnsi="宋体" w:cstheme="minorEastAsia"/>
          <w:sz w:val="28"/>
          <w:szCs w:val="28"/>
        </w:rPr>
      </w:pPr>
      <w:r w:rsidRPr="00A0598C">
        <w:rPr>
          <w:rFonts w:ascii="宋体" w:eastAsia="宋体" w:hAnsi="宋体" w:cstheme="minorEastAsia" w:hint="eastAsia"/>
          <w:sz w:val="28"/>
          <w:szCs w:val="28"/>
        </w:rPr>
        <w:t>更加合理的库存水平和库存结构。</w:t>
      </w:r>
    </w:p>
    <w:p w:rsidR="00C81434" w:rsidRPr="00A0598C" w:rsidRDefault="00C81434" w:rsidP="00C81434">
      <w:pPr>
        <w:pStyle w:val="a7"/>
        <w:numPr>
          <w:ilvl w:val="0"/>
          <w:numId w:val="5"/>
        </w:numPr>
        <w:autoSpaceDE w:val="0"/>
        <w:autoSpaceDN w:val="0"/>
        <w:adjustRightInd w:val="0"/>
        <w:snapToGrid w:val="0"/>
        <w:spacing w:afterLines="50" w:after="156" w:line="300" w:lineRule="auto"/>
        <w:jc w:val="left"/>
        <w:rPr>
          <w:rFonts w:ascii="宋体" w:eastAsia="宋体" w:hAnsi="宋体" w:cstheme="minorEastAsia"/>
          <w:sz w:val="28"/>
          <w:szCs w:val="28"/>
        </w:rPr>
      </w:pPr>
      <w:r w:rsidRPr="00A0598C">
        <w:rPr>
          <w:rFonts w:ascii="宋体" w:eastAsia="宋体" w:hAnsi="宋体" w:cstheme="minorEastAsia" w:hint="eastAsia"/>
          <w:sz w:val="28"/>
          <w:szCs w:val="28"/>
        </w:rPr>
        <w:t>库存持有成本的节省空间在20%左右。</w:t>
      </w:r>
    </w:p>
    <w:p w:rsidR="00C81434" w:rsidRPr="00C81434" w:rsidRDefault="00C81434" w:rsidP="00C81434">
      <w:pPr>
        <w:pStyle w:val="a7"/>
        <w:numPr>
          <w:ilvl w:val="0"/>
          <w:numId w:val="5"/>
        </w:numPr>
        <w:autoSpaceDE w:val="0"/>
        <w:autoSpaceDN w:val="0"/>
        <w:adjustRightInd w:val="0"/>
        <w:snapToGrid w:val="0"/>
        <w:spacing w:afterLines="50" w:after="156" w:line="300" w:lineRule="auto"/>
        <w:jc w:val="left"/>
        <w:rPr>
          <w:rFonts w:ascii="宋体" w:eastAsia="宋体" w:hAnsi="宋体" w:cstheme="minorEastAsia" w:hint="eastAsia"/>
          <w:sz w:val="28"/>
          <w:szCs w:val="28"/>
        </w:rPr>
      </w:pPr>
      <w:r w:rsidRPr="00A0598C">
        <w:rPr>
          <w:rFonts w:ascii="宋体" w:eastAsia="宋体" w:hAnsi="宋体" w:cstheme="minorEastAsia" w:hint="eastAsia"/>
          <w:sz w:val="28"/>
          <w:szCs w:val="28"/>
        </w:rPr>
        <w:t>系统按规则自动产生订货计划，效率有效提升。</w:t>
      </w:r>
    </w:p>
    <w:sectPr w:rsidR="00C81434" w:rsidRPr="00C814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984" w:rsidRDefault="00A03984" w:rsidP="00C81434">
      <w:r>
        <w:separator/>
      </w:r>
    </w:p>
  </w:endnote>
  <w:endnote w:type="continuationSeparator" w:id="0">
    <w:p w:rsidR="00A03984" w:rsidRDefault="00A03984" w:rsidP="00C8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984" w:rsidRDefault="00A03984" w:rsidP="00C81434">
      <w:r>
        <w:separator/>
      </w:r>
    </w:p>
  </w:footnote>
  <w:footnote w:type="continuationSeparator" w:id="0">
    <w:p w:rsidR="00A03984" w:rsidRDefault="00A03984" w:rsidP="00C814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904DC"/>
    <w:multiLevelType w:val="hybridMultilevel"/>
    <w:tmpl w:val="3C8E716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45B32174"/>
    <w:multiLevelType w:val="hybridMultilevel"/>
    <w:tmpl w:val="182A76A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58BB58EF"/>
    <w:multiLevelType w:val="hybridMultilevel"/>
    <w:tmpl w:val="FDDEE07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66050BB7"/>
    <w:multiLevelType w:val="hybridMultilevel"/>
    <w:tmpl w:val="3FCA7AA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6BDE6C74"/>
    <w:multiLevelType w:val="hybridMultilevel"/>
    <w:tmpl w:val="21426CB2"/>
    <w:lvl w:ilvl="0" w:tplc="91587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AAE"/>
    <w:rsid w:val="00757AE2"/>
    <w:rsid w:val="008D1AAE"/>
    <w:rsid w:val="00A03984"/>
    <w:rsid w:val="00BF2F0F"/>
    <w:rsid w:val="00C81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79665"/>
  <w15:chartTrackingRefBased/>
  <w15:docId w15:val="{A5A00A44-D992-4F2F-8412-F97D1630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4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1434"/>
    <w:rPr>
      <w:sz w:val="18"/>
      <w:szCs w:val="18"/>
    </w:rPr>
  </w:style>
  <w:style w:type="paragraph" w:styleId="a5">
    <w:name w:val="footer"/>
    <w:basedOn w:val="a"/>
    <w:link w:val="a6"/>
    <w:uiPriority w:val="99"/>
    <w:unhideWhenUsed/>
    <w:rsid w:val="00C81434"/>
    <w:pPr>
      <w:tabs>
        <w:tab w:val="center" w:pos="4153"/>
        <w:tab w:val="right" w:pos="8306"/>
      </w:tabs>
      <w:snapToGrid w:val="0"/>
      <w:jc w:val="left"/>
    </w:pPr>
    <w:rPr>
      <w:sz w:val="18"/>
      <w:szCs w:val="18"/>
    </w:rPr>
  </w:style>
  <w:style w:type="character" w:customStyle="1" w:styleId="a6">
    <w:name w:val="页脚 字符"/>
    <w:basedOn w:val="a0"/>
    <w:link w:val="a5"/>
    <w:uiPriority w:val="99"/>
    <w:rsid w:val="00C81434"/>
    <w:rPr>
      <w:sz w:val="18"/>
      <w:szCs w:val="18"/>
    </w:rPr>
  </w:style>
  <w:style w:type="paragraph" w:styleId="a7">
    <w:name w:val="List Paragraph"/>
    <w:basedOn w:val="a"/>
    <w:uiPriority w:val="34"/>
    <w:qFormat/>
    <w:rsid w:val="00C81434"/>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2</cp:revision>
  <dcterms:created xsi:type="dcterms:W3CDTF">2025-09-05T06:47:00Z</dcterms:created>
  <dcterms:modified xsi:type="dcterms:W3CDTF">2025-09-05T06:50:00Z</dcterms:modified>
</cp:coreProperties>
</file>